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85"/>
        <w:spacing w:before="494" w:line="220" w:lineRule="auto"/>
        <w:rPr>
          <w:rFonts w:ascii="NSimSun" w:hAnsi="NSimSun" w:eastAsia="NSimSun" w:cs="NSimSun"/>
          <w:sz w:val="152"/>
          <w:szCs w:val="152"/>
        </w:rPr>
      </w:pPr>
      <w:r>
        <w:rPr>
          <w:rFonts w:ascii="NSimSun" w:hAnsi="NSimSun" w:eastAsia="NSimSun" w:cs="NSimSun"/>
          <w:sz w:val="152"/>
          <w:szCs w:val="152"/>
          <w:color w:val="FF0000"/>
          <w:spacing w:val="-83"/>
          <w:w w:val="55"/>
        </w:rPr>
        <w:t>成都市温江区教育局文件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008"/>
        <w:spacing w:before="104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温教</w:t>
      </w:r>
      <w:r>
        <w:rPr>
          <w:rFonts w:ascii="FangSong" w:hAnsi="FangSong" w:eastAsia="FangSong" w:cs="FangSong"/>
          <w:sz w:val="32"/>
          <w:szCs w:val="32"/>
        </w:rPr>
        <w:t>发〔</w:t>
      </w:r>
      <w:r>
        <w:rPr>
          <w:rFonts w:ascii="Times New Roman" w:hAnsi="Times New Roman" w:eastAsia="Times New Roman" w:cs="Times New Roman"/>
          <w:sz w:val="32"/>
          <w:szCs w:val="32"/>
        </w:rPr>
        <w:t>2023</w:t>
      </w:r>
      <w:r>
        <w:rPr>
          <w:rFonts w:ascii="FangSong" w:hAnsi="FangSong" w:eastAsia="FangSong" w:cs="FangSong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>25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</w:t>
      </w:r>
    </w:p>
    <w:p>
      <w:pPr>
        <w:spacing w:before="197" w:line="43" w:lineRule="exact"/>
        <w:textAlignment w:val="center"/>
        <w:rPr/>
      </w:pPr>
      <w:r>
        <w:pict>
          <v:shape id="_x0000_s1" style="mso-position-vertical-relative:line;mso-position-horizontal-relative:char;width:446.35pt;height:2.2pt;" filled="false" strokecolor="#FF0000" strokeweight="2.16pt" coordsize="8927,44" coordorigin="0,0" path="m0,21l8926,21e">
            <v:stroke miterlimit="10"/>
          </v:shape>
        </w:pic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657"/>
        <w:spacing w:before="134" w:line="223" w:lineRule="auto"/>
        <w:rPr>
          <w:rFonts w:ascii="NSimSun" w:hAnsi="NSimSun" w:eastAsia="NSimSun" w:cs="NSimSun"/>
          <w:sz w:val="41"/>
          <w:szCs w:val="41"/>
        </w:rPr>
      </w:pPr>
      <w:r>
        <w:rPr>
          <w:rFonts w:ascii="NSimSun" w:hAnsi="NSimSun" w:eastAsia="NSimSun" w:cs="NSimSun"/>
          <w:sz w:val="41"/>
          <w:szCs w:val="41"/>
          <w:spacing w:val="8"/>
        </w:rPr>
        <w:t>成都市温江区教育</w:t>
      </w:r>
      <w:r>
        <w:rPr>
          <w:rFonts w:ascii="NSimSun" w:hAnsi="NSimSun" w:eastAsia="NSimSun" w:cs="NSimSun"/>
          <w:sz w:val="41"/>
          <w:szCs w:val="41"/>
          <w:spacing w:val="7"/>
        </w:rPr>
        <w:t>局</w:t>
      </w:r>
    </w:p>
    <w:p>
      <w:pPr>
        <w:ind w:left="670"/>
        <w:spacing w:before="205" w:line="223" w:lineRule="auto"/>
        <w:rPr>
          <w:rFonts w:ascii="NSimSun" w:hAnsi="NSimSun" w:eastAsia="NSimSun" w:cs="NSimSun"/>
          <w:sz w:val="41"/>
          <w:szCs w:val="41"/>
        </w:rPr>
      </w:pPr>
      <w:r>
        <w:rPr>
          <w:rFonts w:ascii="NSimSun" w:hAnsi="NSimSun" w:eastAsia="NSimSun" w:cs="NSimSun"/>
          <w:sz w:val="41"/>
          <w:szCs w:val="41"/>
          <w:spacing w:val="-4"/>
        </w:rPr>
        <w:t>关于</w:t>
      </w:r>
      <w:r>
        <w:rPr>
          <w:rFonts w:ascii="NSimSun" w:hAnsi="NSimSun" w:eastAsia="NSimSun" w:cs="NSimSun"/>
          <w:sz w:val="41"/>
          <w:szCs w:val="41"/>
          <w:spacing w:val="-2"/>
        </w:rPr>
        <w:t>批复</w:t>
      </w:r>
      <w:r>
        <w:rPr>
          <w:rFonts w:ascii="NSimSun" w:hAnsi="NSimSun" w:eastAsia="NSimSun" w:cs="NSimSun"/>
          <w:sz w:val="41"/>
          <w:szCs w:val="41"/>
          <w:spacing w:val="-2"/>
        </w:rPr>
        <w:t xml:space="preserve"> </w:t>
      </w:r>
      <w:r>
        <w:rPr>
          <w:rFonts w:ascii="NSimSun" w:hAnsi="NSimSun" w:eastAsia="NSimSun" w:cs="NSimSun"/>
          <w:sz w:val="41"/>
          <w:szCs w:val="41"/>
          <w:spacing w:val="-2"/>
        </w:rPr>
        <w:t>2023</w:t>
      </w:r>
      <w:r>
        <w:rPr>
          <w:rFonts w:ascii="NSimSun" w:hAnsi="NSimSun" w:eastAsia="NSimSun" w:cs="NSimSun"/>
          <w:sz w:val="41"/>
          <w:szCs w:val="41"/>
          <w:spacing w:val="-2"/>
        </w:rPr>
        <w:t xml:space="preserve"> </w:t>
      </w:r>
      <w:r>
        <w:rPr>
          <w:rFonts w:ascii="NSimSun" w:hAnsi="NSimSun" w:eastAsia="NSimSun" w:cs="NSimSun"/>
          <w:sz w:val="41"/>
          <w:szCs w:val="41"/>
          <w:spacing w:val="-2"/>
        </w:rPr>
        <w:t>年单位预算和财政支出预算</w:t>
      </w:r>
    </w:p>
    <w:p>
      <w:pPr>
        <w:ind w:left="3083"/>
        <w:spacing w:before="199" w:line="224" w:lineRule="auto"/>
        <w:rPr>
          <w:rFonts w:ascii="NSimSun" w:hAnsi="NSimSun" w:eastAsia="NSimSun" w:cs="NSimSun"/>
          <w:sz w:val="41"/>
          <w:szCs w:val="41"/>
        </w:rPr>
      </w:pPr>
      <w:r>
        <w:rPr>
          <w:rFonts w:ascii="NSimSun" w:hAnsi="NSimSun" w:eastAsia="NSimSun" w:cs="NSimSun"/>
          <w:sz w:val="41"/>
          <w:szCs w:val="41"/>
          <w:spacing w:val="7"/>
        </w:rPr>
        <w:t>绩效目标的通</w:t>
      </w:r>
      <w:r>
        <w:rPr>
          <w:rFonts w:ascii="NSimSun" w:hAnsi="NSimSun" w:eastAsia="NSimSun" w:cs="NSimSun"/>
          <w:sz w:val="41"/>
          <w:szCs w:val="41"/>
          <w:spacing w:val="5"/>
        </w:rPr>
        <w:t>知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31"/>
        <w:spacing w:before="95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各</w:t>
      </w:r>
      <w:r>
        <w:rPr>
          <w:rFonts w:ascii="FangSong" w:hAnsi="FangSong" w:eastAsia="FangSong" w:cs="FangSong"/>
          <w:sz w:val="29"/>
          <w:szCs w:val="29"/>
          <w:spacing w:val="8"/>
        </w:rPr>
        <w:t>公办中小学、幼儿园，教育局所属事业单位：</w:t>
      </w:r>
    </w:p>
    <w:p>
      <w:pPr>
        <w:ind w:left="130" w:firstLine="603"/>
        <w:spacing w:before="222" w:line="37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温江区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年财政收支预算及部门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(单位)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预算草案已经区第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十九届人</w:t>
      </w:r>
      <w:r>
        <w:rPr>
          <w:rFonts w:ascii="FangSong" w:hAnsi="FangSong" w:eastAsia="FangSong" w:cs="FangSong"/>
          <w:sz w:val="29"/>
          <w:szCs w:val="29"/>
          <w:spacing w:val="8"/>
        </w:rPr>
        <w:t>大</w:t>
      </w:r>
      <w:r>
        <w:rPr>
          <w:rFonts w:ascii="FangSong" w:hAnsi="FangSong" w:eastAsia="FangSong" w:cs="FangSong"/>
          <w:sz w:val="29"/>
          <w:szCs w:val="29"/>
          <w:spacing w:val="5"/>
        </w:rPr>
        <w:t>第三次会议审查通过，现将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年单位预算批复你们，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请</w:t>
      </w:r>
      <w:r>
        <w:rPr>
          <w:rFonts w:ascii="FangSong" w:hAnsi="FangSong" w:eastAsia="FangSong" w:cs="FangSong"/>
          <w:sz w:val="29"/>
          <w:szCs w:val="29"/>
          <w:spacing w:val="8"/>
        </w:rPr>
        <w:t>严格遵照执行，并就有关事项通知如下。</w:t>
      </w:r>
    </w:p>
    <w:p>
      <w:pPr>
        <w:ind w:left="726"/>
        <w:spacing w:line="480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1"/>
          <w:position w:val="4"/>
        </w:rPr>
        <w:t>一</w:t>
      </w:r>
      <w:r>
        <w:rPr>
          <w:rFonts w:ascii="SimHei" w:hAnsi="SimHei" w:eastAsia="SimHei" w:cs="SimHei"/>
          <w:sz w:val="29"/>
          <w:szCs w:val="29"/>
          <w:spacing w:val="7"/>
          <w:position w:val="4"/>
        </w:rPr>
        <w:t>、强化收支管理</w:t>
      </w:r>
    </w:p>
    <w:p>
      <w:pPr>
        <w:ind w:left="129" w:right="8" w:firstLine="597"/>
        <w:spacing w:before="102" w:line="37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6"/>
        </w:rPr>
        <w:t>一</w:t>
      </w:r>
      <w:r>
        <w:rPr>
          <w:rFonts w:ascii="KaiTi" w:hAnsi="KaiTi" w:eastAsia="KaiTi" w:cs="KaiTi"/>
          <w:sz w:val="29"/>
          <w:szCs w:val="29"/>
          <w:spacing w:val="14"/>
        </w:rPr>
        <w:t>是强化收入组织。</w:t>
      </w:r>
      <w:r>
        <w:rPr>
          <w:rFonts w:ascii="FangSong" w:hAnsi="FangSong" w:eastAsia="FangSong" w:cs="FangSong"/>
          <w:sz w:val="29"/>
          <w:szCs w:val="29"/>
          <w:spacing w:val="14"/>
        </w:rPr>
        <w:t>有组织财政非税收入职能的单位，应严格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执行《</w:t>
      </w:r>
      <w:r>
        <w:rPr>
          <w:rFonts w:ascii="FangSong" w:hAnsi="FangSong" w:eastAsia="FangSong" w:cs="FangSong"/>
          <w:sz w:val="29"/>
          <w:szCs w:val="29"/>
          <w:spacing w:val="10"/>
        </w:rPr>
        <w:t>关</w:t>
      </w:r>
      <w:r>
        <w:rPr>
          <w:rFonts w:ascii="FangSong" w:hAnsi="FangSong" w:eastAsia="FangSong" w:cs="FangSong"/>
          <w:sz w:val="29"/>
          <w:szCs w:val="29"/>
          <w:spacing w:val="6"/>
        </w:rPr>
        <w:t>于进一步加强政府非税收入管理的通知》(温财发〔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2022</w:t>
      </w:r>
      <w:r>
        <w:rPr>
          <w:rFonts w:ascii="FangSong" w:hAnsi="FangSong" w:eastAsia="FangSong" w:cs="FangSong"/>
          <w:sz w:val="29"/>
          <w:szCs w:val="29"/>
          <w:spacing w:val="6"/>
        </w:rPr>
        <w:t>〕</w:t>
      </w:r>
    </w:p>
    <w:p>
      <w:pPr>
        <w:sectPr>
          <w:footerReference w:type="default" r:id="rId1"/>
          <w:pgSz w:w="11896" w:h="16830"/>
          <w:pgMar w:top="1430" w:right="1529" w:bottom="1462" w:left="1419" w:header="0" w:footer="1106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8" w:right="188" w:hanging="9"/>
        <w:spacing w:before="94" w:line="36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</w:rPr>
        <w:t>37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号)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相关要求，做到依法征收，应收尽收，并将收入及时、足额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上缴国</w:t>
      </w:r>
      <w:r>
        <w:rPr>
          <w:rFonts w:ascii="FangSong" w:hAnsi="FangSong" w:eastAsia="FangSong" w:cs="FangSong"/>
          <w:sz w:val="29"/>
          <w:szCs w:val="29"/>
          <w:spacing w:val="8"/>
        </w:rPr>
        <w:t>库</w:t>
      </w:r>
      <w:r>
        <w:rPr>
          <w:rFonts w:ascii="FangSong" w:hAnsi="FangSong" w:eastAsia="FangSong" w:cs="FangSong"/>
          <w:sz w:val="29"/>
          <w:szCs w:val="29"/>
          <w:spacing w:val="7"/>
        </w:rPr>
        <w:t>，对不履行职责、应收不收的，将追究有关责任人的责任。</w:t>
      </w:r>
    </w:p>
    <w:p>
      <w:pPr>
        <w:ind w:left="6" w:right="297" w:firstLine="594"/>
        <w:spacing w:before="4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28"/>
        </w:rPr>
        <w:t>二</w:t>
      </w:r>
      <w:r>
        <w:rPr>
          <w:rFonts w:ascii="KaiTi" w:hAnsi="KaiTi" w:eastAsia="KaiTi" w:cs="KaiTi"/>
          <w:sz w:val="29"/>
          <w:szCs w:val="29"/>
          <w:spacing w:val="14"/>
        </w:rPr>
        <w:t>是强化预算约束。</w:t>
      </w:r>
      <w:r>
        <w:rPr>
          <w:rFonts w:ascii="FangSong" w:hAnsi="FangSong" w:eastAsia="FangSong" w:cs="FangSong"/>
          <w:sz w:val="29"/>
          <w:szCs w:val="29"/>
          <w:spacing w:val="14"/>
        </w:rPr>
        <w:t>各单位要遵循先有预算、后有支出、无预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算</w:t>
      </w:r>
      <w:r>
        <w:rPr>
          <w:rFonts w:ascii="FangSong" w:hAnsi="FangSong" w:eastAsia="FangSong" w:cs="FangSong"/>
          <w:sz w:val="29"/>
          <w:szCs w:val="29"/>
          <w:spacing w:val="14"/>
        </w:rPr>
        <w:t>不支出的原则，严格按照批复的预算科目、资金用途和预算金额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执</w:t>
      </w:r>
      <w:r>
        <w:rPr>
          <w:rFonts w:ascii="FangSong" w:hAnsi="FangSong" w:eastAsia="FangSong" w:cs="FangSong"/>
          <w:sz w:val="29"/>
          <w:szCs w:val="29"/>
          <w:spacing w:val="14"/>
        </w:rPr>
        <w:t>行。除政策性增支等特殊因素外，不追加安排新增支出预算、不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随</w:t>
      </w:r>
      <w:r>
        <w:rPr>
          <w:rFonts w:ascii="FangSong" w:hAnsi="FangSong" w:eastAsia="FangSong" w:cs="FangSong"/>
          <w:sz w:val="29"/>
          <w:szCs w:val="29"/>
          <w:spacing w:val="11"/>
        </w:rPr>
        <w:t>意</w:t>
      </w:r>
      <w:r>
        <w:rPr>
          <w:rFonts w:ascii="FangSong" w:hAnsi="FangSong" w:eastAsia="FangSong" w:cs="FangSong"/>
          <w:sz w:val="29"/>
          <w:szCs w:val="29"/>
          <w:spacing w:val="8"/>
        </w:rPr>
        <w:t>调整确定的支出项目和资金用途。</w:t>
      </w:r>
    </w:p>
    <w:p>
      <w:pPr>
        <w:ind w:left="11" w:firstLine="584"/>
        <w:spacing w:before="2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5"/>
        </w:rPr>
        <w:t>三是强化支出管控。</w:t>
      </w:r>
      <w:r>
        <w:rPr>
          <w:rFonts w:ascii="FangSong" w:hAnsi="FangSong" w:eastAsia="FangSong" w:cs="FangSong"/>
          <w:sz w:val="29"/>
          <w:szCs w:val="29"/>
          <w:spacing w:val="15"/>
        </w:rPr>
        <w:t>各单位一方面要继续坚持政府“过紧日子</w:t>
      </w:r>
      <w:r>
        <w:rPr>
          <w:rFonts w:ascii="FangSong" w:hAnsi="FangSong" w:eastAsia="FangSong" w:cs="FangSong"/>
          <w:sz w:val="29"/>
          <w:szCs w:val="29"/>
          <w:spacing w:val="10"/>
        </w:rPr>
        <w:t>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思</w:t>
      </w:r>
      <w:r>
        <w:rPr>
          <w:rFonts w:ascii="FangSong" w:hAnsi="FangSong" w:eastAsia="FangSong" w:cs="FangSong"/>
          <w:sz w:val="29"/>
          <w:szCs w:val="29"/>
          <w:spacing w:val="14"/>
        </w:rPr>
        <w:t>想不动摇，节用裕民、俭以养德，从严从紧控制非重点非刚性支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出</w:t>
      </w:r>
      <w:r>
        <w:rPr>
          <w:rFonts w:ascii="FangSong" w:hAnsi="FangSong" w:eastAsia="FangSong" w:cs="FangSong"/>
          <w:sz w:val="29"/>
          <w:szCs w:val="29"/>
          <w:spacing w:val="14"/>
        </w:rPr>
        <w:t>规模，着力降低政府运行成本，严格执行会议费、差旅费、培训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0"/>
        </w:rPr>
        <w:t>费</w:t>
      </w:r>
      <w:r>
        <w:rPr>
          <w:rFonts w:ascii="FangSong" w:hAnsi="FangSong" w:eastAsia="FangSong" w:cs="FangSong"/>
          <w:sz w:val="29"/>
          <w:szCs w:val="29"/>
          <w:spacing w:val="14"/>
        </w:rPr>
        <w:t>等相关管理办法，从严控制“三公”经费支出规模，进一步压减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一</w:t>
      </w:r>
      <w:r>
        <w:rPr>
          <w:rFonts w:ascii="FangSong" w:hAnsi="FangSong" w:eastAsia="FangSong" w:cs="FangSong"/>
          <w:sz w:val="29"/>
          <w:szCs w:val="29"/>
          <w:spacing w:val="14"/>
        </w:rPr>
        <w:t>般性支出。另一方面要按照均衡有序的原则，加快支出进度，着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力</w:t>
      </w:r>
      <w:r>
        <w:rPr>
          <w:rFonts w:ascii="FangSong" w:hAnsi="FangSong" w:eastAsia="FangSong" w:cs="FangSong"/>
          <w:sz w:val="29"/>
          <w:szCs w:val="29"/>
          <w:spacing w:val="15"/>
        </w:rPr>
        <w:t>提高单位预算执行的均衡性和时效性，对执行进度不佳的项目，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财政</w:t>
      </w:r>
      <w:r>
        <w:rPr>
          <w:rFonts w:ascii="FangSong" w:hAnsi="FangSong" w:eastAsia="FangSong" w:cs="FangSong"/>
          <w:sz w:val="29"/>
          <w:szCs w:val="29"/>
          <w:spacing w:val="12"/>
        </w:rPr>
        <w:t>将</w:t>
      </w:r>
      <w:r>
        <w:rPr>
          <w:rFonts w:ascii="FangSong" w:hAnsi="FangSong" w:eastAsia="FangSong" w:cs="FangSong"/>
          <w:sz w:val="29"/>
          <w:szCs w:val="29"/>
          <w:spacing w:val="8"/>
        </w:rPr>
        <w:t>及时收回资金，统筹安排用于保重点、保急需领域。</w:t>
      </w:r>
    </w:p>
    <w:p>
      <w:pPr>
        <w:ind w:left="605"/>
        <w:spacing w:line="389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9"/>
          <w:position w:val="2"/>
        </w:rPr>
        <w:t>二、强化绩效目标规范管</w:t>
      </w:r>
      <w:r>
        <w:rPr>
          <w:rFonts w:ascii="SimHei" w:hAnsi="SimHei" w:eastAsia="SimHei" w:cs="SimHei"/>
          <w:sz w:val="29"/>
          <w:szCs w:val="29"/>
          <w:spacing w:val="7"/>
          <w:position w:val="2"/>
        </w:rPr>
        <w:t>理</w:t>
      </w:r>
    </w:p>
    <w:p>
      <w:pPr>
        <w:ind w:left="6" w:right="297" w:firstLine="603"/>
        <w:spacing w:before="189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项</w:t>
      </w:r>
      <w:r>
        <w:rPr>
          <w:rFonts w:ascii="FangSong" w:hAnsi="FangSong" w:eastAsia="FangSong" w:cs="FangSong"/>
          <w:sz w:val="29"/>
          <w:szCs w:val="29"/>
          <w:spacing w:val="13"/>
        </w:rPr>
        <w:t>目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(政策、整体)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支出绩效目标是预算绩效管理的基础，是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单</w:t>
      </w:r>
      <w:r>
        <w:rPr>
          <w:rFonts w:ascii="FangSong" w:hAnsi="FangSong" w:eastAsia="FangSong" w:cs="FangSong"/>
          <w:sz w:val="29"/>
          <w:szCs w:val="29"/>
          <w:spacing w:val="14"/>
        </w:rPr>
        <w:t>位开展绩效监控和绩效评价的重要依据，一经批复应严格参照执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行</w:t>
      </w:r>
      <w:r>
        <w:rPr>
          <w:rFonts w:ascii="FangSong" w:hAnsi="FangSong" w:eastAsia="FangSong" w:cs="FangSong"/>
          <w:sz w:val="29"/>
          <w:szCs w:val="29"/>
          <w:spacing w:val="14"/>
        </w:rPr>
        <w:t>，原则上不予调整。年中拟申报新增项目的单位，应先按程序申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报</w:t>
      </w:r>
      <w:r>
        <w:rPr>
          <w:rFonts w:ascii="FangSong" w:hAnsi="FangSong" w:eastAsia="FangSong" w:cs="FangSong"/>
          <w:sz w:val="29"/>
          <w:szCs w:val="29"/>
          <w:spacing w:val="14"/>
        </w:rPr>
        <w:t>绩效目标；未填报绩效目标的，一律不予安排预算。各单位要切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履行预算绩效管理主体责任，完善本单位预算绩效管理机制，切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实</w:t>
      </w:r>
      <w:r>
        <w:rPr>
          <w:rFonts w:ascii="FangSong" w:hAnsi="FangSong" w:eastAsia="FangSong" w:cs="FangSong"/>
          <w:sz w:val="29"/>
          <w:szCs w:val="29"/>
          <w:spacing w:val="13"/>
        </w:rPr>
        <w:t>做好项目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(政策)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执行中跟踪监控、执行后绩效评价工作，加快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构</w:t>
      </w:r>
      <w:r>
        <w:rPr>
          <w:rFonts w:ascii="FangSong" w:hAnsi="FangSong" w:eastAsia="FangSong" w:cs="FangSong"/>
          <w:sz w:val="29"/>
          <w:szCs w:val="29"/>
          <w:spacing w:val="9"/>
        </w:rPr>
        <w:t>建全方位、全过程、全覆盖的预算绩效管理体系。</w:t>
      </w:r>
    </w:p>
    <w:p>
      <w:pPr>
        <w:ind w:left="60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1"/>
        </w:rPr>
        <w:t>三</w:t>
      </w:r>
      <w:r>
        <w:rPr>
          <w:rFonts w:ascii="SimHei" w:hAnsi="SimHei" w:eastAsia="SimHei" w:cs="SimHei"/>
          <w:sz w:val="29"/>
          <w:szCs w:val="29"/>
          <w:spacing w:val="7"/>
        </w:rPr>
        <w:t>、加强采购管理</w:t>
      </w:r>
    </w:p>
    <w:p>
      <w:pPr>
        <w:sectPr>
          <w:footerReference w:type="default" r:id="rId2"/>
          <w:pgSz w:w="11911" w:h="16830"/>
          <w:pgMar w:top="1430" w:right="1233" w:bottom="1462" w:left="1544" w:header="0" w:footer="1106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603"/>
        <w:spacing w:before="94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各单位要认真贯彻执行《中华人民共和国采购法》《中华人民</w:t>
      </w:r>
      <w:r>
        <w:rPr>
          <w:rFonts w:ascii="FangSong" w:hAnsi="FangSong" w:eastAsia="FangSong" w:cs="FangSong"/>
          <w:sz w:val="29"/>
          <w:szCs w:val="29"/>
          <w:spacing w:val="1"/>
        </w:rPr>
        <w:t>共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和国</w:t>
      </w:r>
      <w:r>
        <w:rPr>
          <w:rFonts w:ascii="FangSong" w:hAnsi="FangSong" w:eastAsia="FangSong" w:cs="FangSong"/>
          <w:sz w:val="29"/>
          <w:szCs w:val="29"/>
          <w:spacing w:val="7"/>
        </w:rPr>
        <w:t>政</w:t>
      </w:r>
      <w:r>
        <w:rPr>
          <w:rFonts w:ascii="FangSong" w:hAnsi="FangSong" w:eastAsia="FangSong" w:cs="FangSong"/>
          <w:sz w:val="29"/>
          <w:szCs w:val="29"/>
          <w:spacing w:val="4"/>
        </w:rPr>
        <w:t>府采购法实施条例》《成都市温江区财政局关于转发〈成都市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财政局关</w:t>
      </w:r>
      <w:r>
        <w:rPr>
          <w:rFonts w:ascii="FangSong" w:hAnsi="FangSong" w:eastAsia="FangSong" w:cs="FangSong"/>
          <w:sz w:val="29"/>
          <w:szCs w:val="29"/>
          <w:spacing w:val="6"/>
        </w:rPr>
        <w:t>于</w:t>
      </w:r>
      <w:r>
        <w:rPr>
          <w:rFonts w:ascii="FangSong" w:hAnsi="FangSong" w:eastAsia="FangSong" w:cs="FangSong"/>
          <w:sz w:val="29"/>
          <w:szCs w:val="29"/>
          <w:spacing w:val="5"/>
        </w:rPr>
        <w:t>贯彻落实《四川省政府集中采购目录及标准(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2020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年版)》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的通</w:t>
      </w:r>
      <w:r>
        <w:rPr>
          <w:rFonts w:ascii="FangSong" w:hAnsi="FangSong" w:eastAsia="FangSong" w:cs="FangSong"/>
          <w:sz w:val="29"/>
          <w:szCs w:val="29"/>
          <w:spacing w:val="7"/>
        </w:rPr>
        <w:t>知</w:t>
      </w:r>
      <w:r>
        <w:rPr>
          <w:rFonts w:ascii="FangSong" w:hAnsi="FangSong" w:eastAsia="FangSong" w:cs="FangSong"/>
          <w:sz w:val="29"/>
          <w:szCs w:val="29"/>
          <w:spacing w:val="4"/>
        </w:rPr>
        <w:t>〉的通知》，严格按照批复的预算项目组织实施政府采购，强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化</w:t>
      </w:r>
      <w:r>
        <w:rPr>
          <w:rFonts w:ascii="FangSong" w:hAnsi="FangSong" w:eastAsia="FangSong" w:cs="FangSong"/>
          <w:sz w:val="29"/>
          <w:szCs w:val="29"/>
          <w:spacing w:val="14"/>
        </w:rPr>
        <w:t>采购主体责任，完善内部控制机制，不得规避政府采购，也不得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随</w:t>
      </w:r>
      <w:r>
        <w:rPr>
          <w:rFonts w:ascii="FangSong" w:hAnsi="FangSong" w:eastAsia="FangSong" w:cs="FangSong"/>
          <w:sz w:val="29"/>
          <w:szCs w:val="29"/>
          <w:spacing w:val="14"/>
        </w:rPr>
        <w:t>意改变政府采购项目，本年度支出中涉及政府采购事项的，要严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格</w:t>
      </w:r>
      <w:r>
        <w:rPr>
          <w:rFonts w:ascii="FangSong" w:hAnsi="FangSong" w:eastAsia="FangSong" w:cs="FangSong"/>
          <w:sz w:val="29"/>
          <w:szCs w:val="29"/>
          <w:spacing w:val="7"/>
        </w:rPr>
        <w:t>按照采购程序申报、办理。</w:t>
      </w:r>
    </w:p>
    <w:p>
      <w:pPr>
        <w:ind w:left="611"/>
        <w:spacing w:line="23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四</w:t>
      </w:r>
      <w:r>
        <w:rPr>
          <w:rFonts w:ascii="SimHei" w:hAnsi="SimHei" w:eastAsia="SimHei" w:cs="SimHei"/>
          <w:sz w:val="29"/>
          <w:szCs w:val="29"/>
          <w:spacing w:val="6"/>
        </w:rPr>
        <w:t>、完善透明制度</w:t>
      </w:r>
    </w:p>
    <w:p>
      <w:pPr>
        <w:ind w:left="6" w:right="133" w:firstLine="596"/>
        <w:spacing w:before="211" w:line="370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</w:rPr>
        <w:t>各</w:t>
      </w:r>
      <w:r>
        <w:rPr>
          <w:rFonts w:ascii="FangSong" w:hAnsi="FangSong" w:eastAsia="FangSong" w:cs="FangSong"/>
          <w:sz w:val="29"/>
          <w:szCs w:val="29"/>
          <w:spacing w:val="16"/>
        </w:rPr>
        <w:t>单</w:t>
      </w:r>
      <w:r>
        <w:rPr>
          <w:rFonts w:ascii="FangSong" w:hAnsi="FangSong" w:eastAsia="FangSong" w:cs="FangSong"/>
          <w:sz w:val="29"/>
          <w:szCs w:val="29"/>
          <w:spacing w:val="14"/>
        </w:rPr>
        <w:t>位作为预算公开的主体，应切实承担起单位预算公开内容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完整细化、公开形式合法合规、公开时间及时有效的责任，要根</w:t>
      </w:r>
      <w:r>
        <w:rPr>
          <w:rFonts w:ascii="FangSong" w:hAnsi="FangSong" w:eastAsia="FangSong" w:cs="FangSong"/>
          <w:sz w:val="29"/>
          <w:szCs w:val="29"/>
          <w:spacing w:val="12"/>
        </w:rPr>
        <w:t>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中央、省、市以及我区有关预算信息公开的要求</w:t>
      </w:r>
      <w:r>
        <w:rPr>
          <w:rFonts w:ascii="FangSong" w:hAnsi="FangSong" w:eastAsia="FangSong" w:cs="FangSong"/>
          <w:sz w:val="29"/>
          <w:szCs w:val="29"/>
        </w:rPr>
        <w:t>，于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年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月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15</w:t>
      </w:r>
    </w:p>
    <w:p>
      <w:pPr>
        <w:ind w:right="131" w:firstLine="62"/>
        <w:spacing w:before="3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日</w:t>
      </w:r>
      <w:r>
        <w:rPr>
          <w:rFonts w:ascii="FangSong" w:hAnsi="FangSong" w:eastAsia="FangSong" w:cs="FangSong"/>
          <w:sz w:val="29"/>
          <w:szCs w:val="29"/>
          <w:spacing w:val="12"/>
        </w:rPr>
        <w:t>前在温江区公众信息网财政公开版块和单位公众网公开本单位预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算及</w:t>
      </w:r>
      <w:r>
        <w:rPr>
          <w:rFonts w:ascii="FangSong" w:hAnsi="FangSong" w:eastAsia="FangSong" w:cs="FangSong"/>
          <w:sz w:val="29"/>
          <w:szCs w:val="29"/>
          <w:spacing w:val="6"/>
        </w:rPr>
        <w:t>“</w:t>
      </w:r>
      <w:r>
        <w:rPr>
          <w:rFonts w:ascii="FangSong" w:hAnsi="FangSong" w:eastAsia="FangSong" w:cs="FangSong"/>
          <w:sz w:val="29"/>
          <w:szCs w:val="29"/>
          <w:spacing w:val="4"/>
        </w:rPr>
        <w:t>三公”经费预算，并对单位预算、政府采购、“三公”经费的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安</w:t>
      </w:r>
      <w:r>
        <w:rPr>
          <w:rFonts w:ascii="FangSong" w:hAnsi="FangSong" w:eastAsia="FangSong" w:cs="FangSong"/>
          <w:sz w:val="29"/>
          <w:szCs w:val="29"/>
          <w:spacing w:val="14"/>
        </w:rPr>
        <w:t>排等重要事项作出说明，并永久保留。财政部每年对预算公开的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及</w:t>
      </w:r>
      <w:r>
        <w:rPr>
          <w:rFonts w:ascii="FangSong" w:hAnsi="FangSong" w:eastAsia="FangSong" w:cs="FangSong"/>
          <w:sz w:val="29"/>
          <w:szCs w:val="29"/>
          <w:spacing w:val="14"/>
        </w:rPr>
        <w:t>时性、完整性、细化程度、公开方式、真实性进行检查，请各单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位</w:t>
      </w:r>
      <w:r>
        <w:rPr>
          <w:rFonts w:ascii="FangSong" w:hAnsi="FangSong" w:eastAsia="FangSong" w:cs="FangSong"/>
          <w:sz w:val="29"/>
          <w:szCs w:val="29"/>
          <w:spacing w:val="14"/>
        </w:rPr>
        <w:t>高度重视、认真审核，如未按规定公开造成的后果，各预算单位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自</w:t>
      </w:r>
      <w:r>
        <w:rPr>
          <w:rFonts w:ascii="FangSong" w:hAnsi="FangSong" w:eastAsia="FangSong" w:cs="FangSong"/>
          <w:sz w:val="29"/>
          <w:szCs w:val="29"/>
          <w:spacing w:val="3"/>
        </w:rPr>
        <w:t>行负责。</w:t>
      </w:r>
    </w:p>
    <w:p>
      <w:pPr>
        <w:ind w:left="600"/>
        <w:spacing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特</w:t>
      </w:r>
      <w:r>
        <w:rPr>
          <w:rFonts w:ascii="FangSong" w:hAnsi="FangSong" w:eastAsia="FangSong" w:cs="FangSong"/>
          <w:sz w:val="29"/>
          <w:szCs w:val="29"/>
          <w:spacing w:val="3"/>
        </w:rPr>
        <w:t>此通知。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614"/>
        <w:spacing w:before="95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附件：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1.2023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年部门预算批复表</w:t>
      </w:r>
    </w:p>
    <w:p>
      <w:pPr>
        <w:ind w:left="1486"/>
        <w:spacing w:before="219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.</w:t>
      </w:r>
      <w:r>
        <w:rPr>
          <w:rFonts w:ascii="FangSong" w:hAnsi="FangSong" w:eastAsia="FangSong" w:cs="FangSong"/>
          <w:sz w:val="29"/>
          <w:szCs w:val="29"/>
          <w:spacing w:val="7"/>
        </w:rPr>
        <w:t>预算项目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(政策)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绩效目标批复表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(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年度)</w:t>
      </w:r>
    </w:p>
    <w:p>
      <w:pPr>
        <w:sectPr>
          <w:footerReference w:type="default" r:id="rId3"/>
          <w:pgSz w:w="11911" w:h="16846"/>
          <w:pgMar w:top="1431" w:right="1394" w:bottom="1467" w:left="1551" w:header="0" w:footer="1113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>
        <w:pict>
          <v:shape id="_x0000_s2" style="position:absolute;margin-left:76.5257pt;margin-top:716.365pt;mso-position-vertical-relative:page;mso-position-horizontal-relative:page;width:440.95pt;height:0.75pt;z-index:251658240;" o:allowincell="f" filled="false" strokecolor="#000000" strokeweight="0.72pt" coordsize="8819,15" coordorigin="0,0" path="m0,7l8818,7e">
            <v:stroke miterlimit="10"/>
          </v:shape>
        </w:pict>
      </w:r>
      <w:r>
        <w:pict>
          <v:shape id="_x0000_s3" style="position:absolute;margin-left:76.5257pt;margin-top:743.977pt;mso-position-vertical-relative:page;mso-position-horizontal-relative:page;width:440.95pt;height:0.75pt;z-index:251659264;" o:allowincell="f" filled="false" strokecolor="#000000" strokeweight="0.72pt" coordsize="8819,15" coordorigin="0,0" path="m0,7l8818,7e">
            <v:stroke miterlimit="10"/>
          </v:shape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4966"/>
        <w:spacing w:line="2369" w:lineRule="exact"/>
        <w:textAlignment w:val="center"/>
        <w:rPr/>
      </w:pPr>
      <w:r>
        <w:pict>
          <v:group id="_x0000_s4" style="mso-position-vertical-relative:line;mso-position-horizontal-relative:char;width:133.9pt;height:118.5pt;" filled="false" stroked="false" coordsize="2677,2370" coordorigin="0,0">
            <v:shape id="_x0000_s5" style="position:absolute;left:208;top:0;width:2370;height:2370;" filled="false" stroked="false" type="#_x0000_t75">
              <v:imagedata r:id="rId5"/>
            </v:shape>
            <v:shape id="_x0000_s6" style="position:absolute;left:-20;top:-20;width:2717;height:24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94" w:line="227" w:lineRule="auto"/>
                      <w:rPr>
                        <w:rFonts w:ascii="FangSong" w:hAnsi="FangSong" w:eastAsia="FangSong" w:cs="FangSong"/>
                        <w:sz w:val="29"/>
                        <w:szCs w:val="29"/>
                      </w:rPr>
                    </w:pP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11"/>
                      </w:rPr>
                      <w:t>成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7"/>
                      </w:rPr>
                      <w:t>都市温江区教育局</w:t>
                    </w:r>
                  </w:p>
                  <w:p>
                    <w:pPr>
                      <w:ind w:left="265"/>
                      <w:spacing w:before="224" w:line="228" w:lineRule="auto"/>
                      <w:rPr>
                        <w:rFonts w:ascii="FangSong" w:hAnsi="FangSong" w:eastAsia="FangSong" w:cs="FangSong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>023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-5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-5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z w:val="29"/>
                        <w:szCs w:val="29"/>
                        <w:spacing w:val="-5"/>
                      </w:rPr>
                      <w:t xml:space="preserve">  </w:t>
                    </w:r>
                    <w:r>
                      <w:rPr>
                        <w:rFonts w:ascii="FangSong" w:hAnsi="FangSong" w:eastAsia="FangSong" w:cs="FangSong"/>
                        <w:sz w:val="29"/>
                        <w:szCs w:val="29"/>
                        <w:spacing w:val="-5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2"/>
        <w:spacing w:before="104" w:line="226" w:lineRule="auto"/>
        <w:rPr>
          <w:rFonts w:ascii="NSimSun" w:hAnsi="NSimSun" w:eastAsia="NSimSun" w:cs="NSimSu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信息</w:t>
      </w:r>
      <w:r>
        <w:rPr>
          <w:rFonts w:ascii="SimHei" w:hAnsi="SimHei" w:eastAsia="SimHei" w:cs="SimHei"/>
          <w:sz w:val="32"/>
          <w:szCs w:val="32"/>
          <w:spacing w:val="-1"/>
        </w:rPr>
        <w:t>公开属性：</w:t>
      </w:r>
      <w:r>
        <w:rPr>
          <w:rFonts w:ascii="NSimSun" w:hAnsi="NSimSun" w:eastAsia="NSimSun" w:cs="NSimSun"/>
          <w:sz w:val="32"/>
          <w:szCs w:val="32"/>
          <w:spacing w:val="-1"/>
        </w:rPr>
        <w:t>不予公开</w:t>
      </w:r>
    </w:p>
    <w:p>
      <w:pPr>
        <w:ind w:left="301"/>
        <w:spacing w:before="274" w:line="2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成都市温江区教育局办公室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   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          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>2023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年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>3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月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>6</w:t>
      </w:r>
      <w:r>
        <w:rPr>
          <w:rFonts w:ascii="Times New Roman" w:hAnsi="Times New Roman" w:eastAsia="Times New Roman" w:cs="Times New Roman"/>
          <w:sz w:val="27"/>
          <w:szCs w:val="27"/>
          <w:spacing w:val="1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"/>
        </w:rPr>
        <w:t>日印发</w:t>
      </w:r>
    </w:p>
    <w:sectPr>
      <w:footerReference w:type="default" r:id="rId4"/>
      <w:pgSz w:w="11895" w:h="16846"/>
      <w:pgMar w:top="1431" w:right="1545" w:bottom="1467" w:left="1530" w:header="0" w:footer="11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356" w:lineRule="exact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7"/>
        <w:position w:val="2"/>
      </w:rPr>
      <w:t>－</w:t>
    </w:r>
    <w:r>
      <w:rPr>
        <w:rFonts w:ascii="Times New Roman" w:hAnsi="Times New Roman" w:eastAsia="Times New Roman" w:cs="Times New Roman"/>
        <w:sz w:val="27"/>
        <w:szCs w:val="27"/>
        <w:spacing w:val="-6"/>
        <w:position w:val="2"/>
      </w:rPr>
      <w:t>1</w:t>
    </w:r>
    <w:r>
      <w:rPr>
        <w:rFonts w:ascii="SimSun" w:hAnsi="SimSun" w:eastAsia="SimSun" w:cs="SimSun"/>
        <w:sz w:val="27"/>
        <w:szCs w:val="27"/>
        <w:spacing w:val="-6"/>
        <w:position w:val="2"/>
      </w:rPr>
      <w:t>－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356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  <w:position w:val="2"/>
      </w:rPr>
      <w:t>－</w:t>
    </w:r>
    <w:r>
      <w:rPr>
        <w:rFonts w:ascii="Times New Roman" w:hAnsi="Times New Roman" w:eastAsia="Times New Roman" w:cs="Times New Roman"/>
        <w:sz w:val="27"/>
        <w:szCs w:val="27"/>
        <w:spacing w:val="-7"/>
        <w:position w:val="2"/>
      </w:rPr>
      <w:t>2</w:t>
    </w:r>
    <w:r>
      <w:rPr>
        <w:rFonts w:ascii="SimSun" w:hAnsi="SimSun" w:eastAsia="SimSun" w:cs="SimSun"/>
        <w:sz w:val="27"/>
        <w:szCs w:val="27"/>
        <w:spacing w:val="-7"/>
        <w:position w:val="2"/>
      </w:rPr>
      <w:t>－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2"/>
      <w:spacing w:before="1" w:line="24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7"/>
      </w:rPr>
      <w:t>－</w:t>
    </w:r>
    <w:r>
      <w:rPr>
        <w:rFonts w:ascii="Times New Roman" w:hAnsi="Times New Roman" w:eastAsia="Times New Roman" w:cs="Times New Roman"/>
        <w:sz w:val="27"/>
        <w:szCs w:val="27"/>
        <w:spacing w:val="-6"/>
      </w:rPr>
      <w:t>3</w:t>
    </w:r>
    <w:r>
      <w:rPr>
        <w:rFonts w:ascii="SimSun" w:hAnsi="SimSun" w:eastAsia="SimSun" w:cs="SimSun"/>
        <w:sz w:val="27"/>
        <w:szCs w:val="27"/>
        <w:spacing w:val="-6"/>
      </w:rPr>
      <w:t>－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356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  <w:position w:val="2"/>
      </w:rPr>
      <w:t>－</w:t>
    </w:r>
    <w:r>
      <w:rPr>
        <w:rFonts w:ascii="Times New Roman" w:hAnsi="Times New Roman" w:eastAsia="Times New Roman" w:cs="Times New Roman"/>
        <w:sz w:val="27"/>
        <w:szCs w:val="27"/>
        <w:spacing w:val="-7"/>
        <w:position w:val="2"/>
      </w:rPr>
      <w:t>4</w:t>
    </w:r>
    <w:r>
      <w:rPr>
        <w:rFonts w:ascii="SimSun" w:hAnsi="SimSun" w:eastAsia="SimSun" w:cs="SimSun"/>
        <w:sz w:val="27"/>
        <w:szCs w:val="27"/>
        <w:spacing w:val="-7"/>
        <w:position w:val="2"/>
      </w:rPr>
      <w:t>－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K5UWY8JFUUW3QQG67MW29CNH0V0FAEFJ.doc</dc:title>
  <dc:creator>001</dc:creator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2023-03-14T16:15:43</vt:filetime>
  </op:property>
</op:Properties>
</file>